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EFFICACY OF CLASS IC VERSUS CLASS III ANTIARRHYTHMICS AFTER CRYOABLATION USING THE ARCTIC FRONT ADVANCE CATHETER </w:t>
      </w:r>
    </w:p>
    <w:p w:rsidR="00B921ED" w:rsidRDefault="00B921ED" w:rsidP="004A4D05">
      <w:pPr>
        <w:widowControl w:val="0"/>
        <w:autoSpaceDE w:val="0"/>
        <w:autoSpaceDN w:val="0"/>
        <w:adjustRightInd w:val="0"/>
      </w:pPr>
      <w:r w:rsidRPr="004A4D05">
        <w:rPr>
          <w:b/>
          <w:bCs/>
          <w:u w:val="single"/>
        </w:rPr>
        <w:t>A</w:t>
      </w:r>
      <w:r w:rsidR="004A4D05" w:rsidRPr="004A4D05">
        <w:rPr>
          <w:b/>
          <w:bCs/>
          <w:u w:val="single"/>
        </w:rPr>
        <w:t>.</w:t>
      </w:r>
      <w:r w:rsidRPr="004A4D05">
        <w:rPr>
          <w:b/>
          <w:bCs/>
          <w:u w:val="single"/>
        </w:rPr>
        <w:t xml:space="preserve"> Avezbadalov</w:t>
      </w:r>
      <w:r w:rsidR="004A4D05" w:rsidRPr="004A4D05">
        <w:rPr>
          <w:b/>
          <w:bCs/>
          <w:u w:val="single"/>
          <w:vertAlign w:val="superscript"/>
        </w:rPr>
        <w:t>1</w:t>
      </w:r>
      <w:r>
        <w:t>, S</w:t>
      </w:r>
      <w:r w:rsidR="004A4D05">
        <w:t>.</w:t>
      </w:r>
      <w:r>
        <w:t xml:space="preserve"> Pollack</w:t>
      </w:r>
      <w:r w:rsidR="004A4D05" w:rsidRPr="004A4D05">
        <w:rPr>
          <w:vertAlign w:val="superscript"/>
        </w:rPr>
        <w:t>2</w:t>
      </w:r>
      <w:r>
        <w:t>, A</w:t>
      </w:r>
      <w:r w:rsidR="004A4D05">
        <w:t>.</w:t>
      </w:r>
      <w:r>
        <w:t>F</w:t>
      </w:r>
      <w:r w:rsidR="004A4D05">
        <w:t>.</w:t>
      </w:r>
      <w:r>
        <w:t xml:space="preserve"> Osman</w:t>
      </w:r>
      <w:r w:rsidR="004A4D05" w:rsidRPr="004A4D05">
        <w:rPr>
          <w:vertAlign w:val="superscript"/>
        </w:rPr>
        <w:t>1</w:t>
      </w:r>
    </w:p>
    <w:p w:rsidR="004A4D05" w:rsidRDefault="004A4D05" w:rsidP="004A4D05">
      <w:pPr>
        <w:widowControl w:val="0"/>
        <w:autoSpaceDE w:val="0"/>
        <w:autoSpaceDN w:val="0"/>
        <w:adjustRightInd w:val="0"/>
        <w:rPr>
          <w:color w:val="000000"/>
        </w:rPr>
      </w:pPr>
      <w:r>
        <w:rPr>
          <w:color w:val="000000"/>
        </w:rPr>
        <w:t xml:space="preserve">1. </w:t>
      </w:r>
      <w:r w:rsidR="00B921ED">
        <w:rPr>
          <w:color w:val="000000"/>
        </w:rPr>
        <w:t>The Heart Center of Excellence, NOVA Southeastern University, Fort Lauderdale, FL, USA</w:t>
      </w:r>
    </w:p>
    <w:p w:rsidR="00B921ED" w:rsidRDefault="004A4D05" w:rsidP="004A4D05">
      <w:pPr>
        <w:widowControl w:val="0"/>
        <w:autoSpaceDE w:val="0"/>
        <w:autoSpaceDN w:val="0"/>
        <w:adjustRightInd w:val="0"/>
        <w:rPr>
          <w:color w:val="503820"/>
        </w:rPr>
      </w:pPr>
      <w:r>
        <w:rPr>
          <w:color w:val="000000"/>
        </w:rPr>
        <w:t xml:space="preserve">2. </w:t>
      </w:r>
      <w:r w:rsidR="00B921ED">
        <w:rPr>
          <w:color w:val="000000"/>
        </w:rPr>
        <w:t>St. John's University, New York, NY, USA</w:t>
      </w:r>
    </w:p>
    <w:p w:rsidR="00B921ED" w:rsidRDefault="00B921ED">
      <w:pPr>
        <w:widowControl w:val="0"/>
        <w:autoSpaceDE w:val="0"/>
        <w:autoSpaceDN w:val="0"/>
        <w:adjustRightInd w:val="0"/>
      </w:pPr>
    </w:p>
    <w:p w:rsidR="004A4D05" w:rsidRDefault="00B921ED">
      <w:pPr>
        <w:widowControl w:val="0"/>
        <w:autoSpaceDE w:val="0"/>
        <w:autoSpaceDN w:val="0"/>
        <w:adjustRightInd w:val="0"/>
        <w:jc w:val="both"/>
      </w:pPr>
      <w:r w:rsidRPr="004A4D05">
        <w:rPr>
          <w:i/>
          <w:iCs/>
        </w:rPr>
        <w:t>Objective</w:t>
      </w:r>
      <w:r>
        <w:t xml:space="preserve">: The second-generation </w:t>
      </w:r>
      <w:proofErr w:type="spellStart"/>
      <w:r>
        <w:t>cryoablation</w:t>
      </w:r>
      <w:proofErr w:type="spellEnd"/>
      <w:r>
        <w:t xml:space="preserve"> balloon is very effective in treating atrial fibrillation. Treating with </w:t>
      </w:r>
      <w:proofErr w:type="spellStart"/>
      <w:r>
        <w:t>antiarrhythmics</w:t>
      </w:r>
      <w:proofErr w:type="spellEnd"/>
      <w:r>
        <w:t xml:space="preserve"> post-ablation has shown favorable results in preventing recurrent atrial fibrillation. We sought to evaluate if any of the two classes of </w:t>
      </w:r>
      <w:proofErr w:type="spellStart"/>
      <w:r>
        <w:t>antiarrhythmics</w:t>
      </w:r>
      <w:proofErr w:type="spellEnd"/>
      <w:r>
        <w:t xml:space="preserve"> had better success of preventing recurrent atrial fibrillation after </w:t>
      </w:r>
      <w:proofErr w:type="spellStart"/>
      <w:r>
        <w:t>cryoablation</w:t>
      </w:r>
      <w:proofErr w:type="spellEnd"/>
      <w:r>
        <w:t>.</w:t>
      </w:r>
    </w:p>
    <w:p w:rsidR="004A4D05" w:rsidRDefault="00B921ED">
      <w:pPr>
        <w:widowControl w:val="0"/>
        <w:autoSpaceDE w:val="0"/>
        <w:autoSpaceDN w:val="0"/>
        <w:adjustRightInd w:val="0"/>
        <w:jc w:val="both"/>
      </w:pPr>
      <w:r w:rsidRPr="004A4D05">
        <w:rPr>
          <w:i/>
          <w:iCs/>
        </w:rPr>
        <w:t>Methods</w:t>
      </w:r>
      <w:r>
        <w:t xml:space="preserve">: This is a single center retrospective analysis of all patients with paroxysmal atrial fibrillation who underwent </w:t>
      </w:r>
      <w:proofErr w:type="spellStart"/>
      <w:r>
        <w:t>cryoablation</w:t>
      </w:r>
      <w:proofErr w:type="spellEnd"/>
      <w:r>
        <w:t xml:space="preserve"> using the Arctic Front Advance catheter at our medical center between September 2012 and October 2014.  All patients received either a Class IC or Class III antiarrhythmic and followed for six months for any documented episodes of atrial fibrillation (Table 1). Amiodarone was separated into an independent group to be compared against the remaining two groups. Any patient who did not follow up for a minimum of six months was excluded. </w:t>
      </w:r>
    </w:p>
    <w:p w:rsidR="004A4D05" w:rsidRDefault="00B921ED" w:rsidP="00F0271A">
      <w:pPr>
        <w:widowControl w:val="0"/>
        <w:autoSpaceDE w:val="0"/>
        <w:autoSpaceDN w:val="0"/>
        <w:adjustRightInd w:val="0"/>
        <w:jc w:val="both"/>
      </w:pPr>
      <w:r w:rsidRPr="004A4D05">
        <w:rPr>
          <w:i/>
          <w:iCs/>
        </w:rPr>
        <w:t>Results</w:t>
      </w:r>
      <w:r>
        <w:t xml:space="preserve">: </w:t>
      </w:r>
      <w:bookmarkStart w:id="0" w:name="_GoBack"/>
      <w:bookmarkEnd w:id="0"/>
      <w:r>
        <w:t xml:space="preserve">When Amiodarone was separated into an independent group, no statistical significance was found between the three groups (p value = 0.97). </w:t>
      </w:r>
    </w:p>
    <w:p w:rsidR="00B921ED" w:rsidRDefault="00B921ED">
      <w:pPr>
        <w:widowControl w:val="0"/>
        <w:autoSpaceDE w:val="0"/>
        <w:autoSpaceDN w:val="0"/>
        <w:adjustRightInd w:val="0"/>
        <w:jc w:val="both"/>
      </w:pPr>
      <w:r w:rsidRPr="004A4D05">
        <w:rPr>
          <w:i/>
          <w:iCs/>
        </w:rPr>
        <w:t>Conclusion</w:t>
      </w:r>
      <w:r>
        <w:t xml:space="preserve">: We found no significant difference between using Class IC or Class III antiarrhythmic agents for the prevention of recurrent atrial fibrillation after successful </w:t>
      </w:r>
      <w:proofErr w:type="spellStart"/>
      <w:r>
        <w:t>cryoablation</w:t>
      </w:r>
      <w:proofErr w:type="spellEnd"/>
      <w:r>
        <w:t xml:space="preserve">. There was no statistically significant difference when Amiodarone was compared to the Class IC and rest of Class III antiarrhythmic medications. </w:t>
      </w:r>
    </w:p>
    <w:p w:rsidR="00B921ED" w:rsidRDefault="00B921ED">
      <w:pPr>
        <w:widowControl w:val="0"/>
        <w:autoSpaceDE w:val="0"/>
        <w:autoSpaceDN w:val="0"/>
        <w:adjustRightInd w:val="0"/>
      </w:pPr>
    </w:p>
    <w:p w:rsidR="00F0271A" w:rsidRDefault="00F0271A" w:rsidP="00F0271A">
      <w:r>
        <w:t xml:space="preserve">Results: </w:t>
      </w:r>
    </w:p>
    <w:tbl>
      <w:tblPr>
        <w:tblW w:w="8651" w:type="dxa"/>
        <w:tblCellSpacing w:w="20" w:type="dxa"/>
        <w:tblInd w:w="1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068"/>
        <w:gridCol w:w="1462"/>
        <w:gridCol w:w="783"/>
        <w:gridCol w:w="1017"/>
        <w:gridCol w:w="1321"/>
      </w:tblGrid>
      <w:tr w:rsidR="00F0271A" w:rsidRPr="00294824" w:rsidTr="005A6B74">
        <w:trPr>
          <w:tblCellSpacing w:w="20" w:type="dxa"/>
        </w:trPr>
        <w:tc>
          <w:tcPr>
            <w:tcW w:w="4008" w:type="dxa"/>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Total Number of Patients</w:t>
            </w:r>
          </w:p>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N = 100</w:t>
            </w:r>
          </w:p>
        </w:tc>
        <w:tc>
          <w:tcPr>
            <w:tcW w:w="2205" w:type="dxa"/>
            <w:gridSpan w:val="2"/>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Class IC      (N = 29)</w:t>
            </w:r>
          </w:p>
          <w:p w:rsidR="00F0271A" w:rsidRPr="00294824" w:rsidRDefault="00F0271A" w:rsidP="005A6B74">
            <w:pPr>
              <w:rPr>
                <w:rFonts w:asciiTheme="minorHAnsi" w:eastAsiaTheme="minorHAnsi" w:hAnsiTheme="minorHAnsi" w:cstheme="minorBidi"/>
              </w:rPr>
            </w:pPr>
          </w:p>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Flecainide (18)</w:t>
            </w:r>
          </w:p>
          <w:p w:rsidR="00F0271A" w:rsidRPr="00294824" w:rsidRDefault="00F0271A" w:rsidP="005A6B74">
            <w:pPr>
              <w:rPr>
                <w:rFonts w:asciiTheme="minorHAnsi" w:eastAsiaTheme="minorHAnsi" w:hAnsiTheme="minorHAnsi" w:cstheme="minorBidi"/>
              </w:rPr>
            </w:pPr>
            <w:proofErr w:type="spellStart"/>
            <w:r w:rsidRPr="00294824">
              <w:rPr>
                <w:rFonts w:asciiTheme="minorHAnsi" w:eastAsiaTheme="minorHAnsi" w:hAnsiTheme="minorHAnsi" w:cstheme="minorBidi"/>
              </w:rPr>
              <w:t>Propafenone</w:t>
            </w:r>
            <w:proofErr w:type="spellEnd"/>
            <w:r w:rsidRPr="00294824">
              <w:rPr>
                <w:rFonts w:asciiTheme="minorHAnsi" w:eastAsiaTheme="minorHAnsi" w:hAnsiTheme="minorHAnsi" w:cstheme="minorBidi"/>
              </w:rPr>
              <w:t xml:space="preserve"> (11)</w:t>
            </w:r>
          </w:p>
        </w:tc>
        <w:tc>
          <w:tcPr>
            <w:tcW w:w="2278" w:type="dxa"/>
            <w:gridSpan w:val="2"/>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Class III      (N = 71)</w:t>
            </w:r>
          </w:p>
          <w:p w:rsidR="00F0271A" w:rsidRPr="00294824" w:rsidRDefault="00F0271A" w:rsidP="005A6B74">
            <w:pPr>
              <w:rPr>
                <w:rFonts w:asciiTheme="minorHAnsi" w:eastAsiaTheme="minorHAnsi" w:hAnsiTheme="minorHAnsi" w:cstheme="minorBidi"/>
              </w:rPr>
            </w:pPr>
          </w:p>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Amiodarone (53)</w:t>
            </w:r>
          </w:p>
          <w:p w:rsidR="00F0271A" w:rsidRPr="00294824" w:rsidRDefault="00F0271A" w:rsidP="005A6B74">
            <w:pPr>
              <w:rPr>
                <w:rFonts w:asciiTheme="minorHAnsi" w:eastAsiaTheme="minorHAnsi" w:hAnsiTheme="minorHAnsi" w:cstheme="minorBidi"/>
              </w:rPr>
            </w:pPr>
            <w:proofErr w:type="spellStart"/>
            <w:r w:rsidRPr="00294824">
              <w:rPr>
                <w:rFonts w:asciiTheme="minorHAnsi" w:eastAsiaTheme="minorHAnsi" w:hAnsiTheme="minorHAnsi" w:cstheme="minorBidi"/>
              </w:rPr>
              <w:t>Sotalol</w:t>
            </w:r>
            <w:proofErr w:type="spellEnd"/>
            <w:r w:rsidRPr="00294824">
              <w:rPr>
                <w:rFonts w:asciiTheme="minorHAnsi" w:eastAsiaTheme="minorHAnsi" w:hAnsiTheme="minorHAnsi" w:cstheme="minorBidi"/>
              </w:rPr>
              <w:t xml:space="preserve"> (14)</w:t>
            </w:r>
          </w:p>
          <w:p w:rsidR="00F0271A" w:rsidRPr="00294824" w:rsidRDefault="00F0271A" w:rsidP="005A6B74">
            <w:pPr>
              <w:rPr>
                <w:rFonts w:asciiTheme="minorHAnsi" w:eastAsiaTheme="minorHAnsi" w:hAnsiTheme="minorHAnsi" w:cstheme="minorBidi"/>
              </w:rPr>
            </w:pPr>
            <w:proofErr w:type="spellStart"/>
            <w:r w:rsidRPr="00294824">
              <w:rPr>
                <w:rFonts w:asciiTheme="minorHAnsi" w:eastAsiaTheme="minorHAnsi" w:hAnsiTheme="minorHAnsi" w:cstheme="minorBidi"/>
              </w:rPr>
              <w:t>Dronederone</w:t>
            </w:r>
            <w:proofErr w:type="spellEnd"/>
            <w:r w:rsidRPr="00294824">
              <w:rPr>
                <w:rFonts w:asciiTheme="minorHAnsi" w:eastAsiaTheme="minorHAnsi" w:hAnsiTheme="minorHAnsi" w:cstheme="minorBidi"/>
              </w:rPr>
              <w:t xml:space="preserve"> (4)</w:t>
            </w:r>
          </w:p>
        </w:tc>
      </w:tr>
      <w:tr w:rsidR="00F0271A" w:rsidRPr="00294824" w:rsidTr="005A6B74">
        <w:trPr>
          <w:tblCellSpacing w:w="20" w:type="dxa"/>
        </w:trPr>
        <w:tc>
          <w:tcPr>
            <w:tcW w:w="4008" w:type="dxa"/>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Number of Patients in Sinus Rhythm at 6 Months</w:t>
            </w:r>
          </w:p>
        </w:tc>
        <w:tc>
          <w:tcPr>
            <w:tcW w:w="2205" w:type="dxa"/>
            <w:gridSpan w:val="2"/>
          </w:tcPr>
          <w:p w:rsidR="00F0271A" w:rsidRPr="00294824" w:rsidRDefault="00F0271A" w:rsidP="005A6B74">
            <w:pPr>
              <w:rPr>
                <w:rFonts w:asciiTheme="minorHAnsi" w:eastAsiaTheme="minorHAnsi" w:hAnsiTheme="minorHAnsi" w:cstheme="minorBidi"/>
              </w:rPr>
            </w:pPr>
            <w:proofErr w:type="gramStart"/>
            <w:r w:rsidRPr="00294824">
              <w:rPr>
                <w:rFonts w:asciiTheme="minorHAnsi" w:eastAsiaTheme="minorHAnsi" w:hAnsiTheme="minorHAnsi" w:cstheme="minorBidi"/>
              </w:rPr>
              <w:t>24  (</w:t>
            </w:r>
            <w:proofErr w:type="gramEnd"/>
            <w:r w:rsidRPr="00294824">
              <w:rPr>
                <w:rFonts w:asciiTheme="minorHAnsi" w:eastAsiaTheme="minorHAnsi" w:hAnsiTheme="minorHAnsi" w:cstheme="minorBidi"/>
              </w:rPr>
              <w:t>82.8%)</w:t>
            </w:r>
          </w:p>
        </w:tc>
        <w:tc>
          <w:tcPr>
            <w:tcW w:w="2278" w:type="dxa"/>
            <w:gridSpan w:val="2"/>
          </w:tcPr>
          <w:p w:rsidR="00F0271A" w:rsidRPr="00294824" w:rsidRDefault="00F0271A" w:rsidP="005A6B74">
            <w:pPr>
              <w:rPr>
                <w:rFonts w:asciiTheme="minorHAnsi" w:eastAsiaTheme="minorHAnsi" w:hAnsiTheme="minorHAnsi" w:cstheme="minorBidi"/>
              </w:rPr>
            </w:pPr>
            <w:proofErr w:type="gramStart"/>
            <w:r w:rsidRPr="00294824">
              <w:rPr>
                <w:rFonts w:asciiTheme="minorHAnsi" w:eastAsiaTheme="minorHAnsi" w:hAnsiTheme="minorHAnsi" w:cstheme="minorBidi"/>
              </w:rPr>
              <w:t>58  (</w:t>
            </w:r>
            <w:proofErr w:type="gramEnd"/>
            <w:r w:rsidRPr="00294824">
              <w:rPr>
                <w:rFonts w:asciiTheme="minorHAnsi" w:eastAsiaTheme="minorHAnsi" w:hAnsiTheme="minorHAnsi" w:cstheme="minorBidi"/>
              </w:rPr>
              <w:t>81.9%)</w:t>
            </w:r>
          </w:p>
        </w:tc>
      </w:tr>
      <w:tr w:rsidR="00F0271A" w:rsidRPr="00294824" w:rsidTr="005A6B74">
        <w:trPr>
          <w:tblCellSpacing w:w="20" w:type="dxa"/>
        </w:trPr>
        <w:tc>
          <w:tcPr>
            <w:tcW w:w="4008" w:type="dxa"/>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Number of Patients with Recurrent Atrial Fibrillation at 6 Months</w:t>
            </w:r>
          </w:p>
        </w:tc>
        <w:tc>
          <w:tcPr>
            <w:tcW w:w="2205" w:type="dxa"/>
            <w:gridSpan w:val="2"/>
          </w:tcPr>
          <w:p w:rsidR="00F0271A" w:rsidRPr="00294824" w:rsidRDefault="00F0271A" w:rsidP="005A6B74">
            <w:pPr>
              <w:rPr>
                <w:rFonts w:asciiTheme="minorHAnsi" w:eastAsiaTheme="minorHAnsi" w:hAnsiTheme="minorHAnsi" w:cstheme="minorBidi"/>
              </w:rPr>
            </w:pPr>
            <w:proofErr w:type="gramStart"/>
            <w:r w:rsidRPr="00294824">
              <w:rPr>
                <w:rFonts w:asciiTheme="minorHAnsi" w:eastAsiaTheme="minorHAnsi" w:hAnsiTheme="minorHAnsi" w:cstheme="minorBidi"/>
              </w:rPr>
              <w:t>5  (</w:t>
            </w:r>
            <w:proofErr w:type="gramEnd"/>
            <w:r w:rsidRPr="00294824">
              <w:rPr>
                <w:rFonts w:asciiTheme="minorHAnsi" w:eastAsiaTheme="minorHAnsi" w:hAnsiTheme="minorHAnsi" w:cstheme="minorBidi"/>
              </w:rPr>
              <w:t>17.2%)</w:t>
            </w:r>
          </w:p>
        </w:tc>
        <w:tc>
          <w:tcPr>
            <w:tcW w:w="2278" w:type="dxa"/>
            <w:gridSpan w:val="2"/>
          </w:tcPr>
          <w:p w:rsidR="00F0271A" w:rsidRPr="00294824" w:rsidRDefault="00F0271A" w:rsidP="005A6B74">
            <w:pPr>
              <w:rPr>
                <w:rFonts w:asciiTheme="minorHAnsi" w:eastAsiaTheme="minorHAnsi" w:hAnsiTheme="minorHAnsi" w:cstheme="minorBidi"/>
              </w:rPr>
            </w:pPr>
            <w:proofErr w:type="gramStart"/>
            <w:r w:rsidRPr="00294824">
              <w:rPr>
                <w:rFonts w:asciiTheme="minorHAnsi" w:eastAsiaTheme="minorHAnsi" w:hAnsiTheme="minorHAnsi" w:cstheme="minorBidi"/>
              </w:rPr>
              <w:t>13  (</w:t>
            </w:r>
            <w:proofErr w:type="gramEnd"/>
            <w:r w:rsidRPr="00294824">
              <w:rPr>
                <w:rFonts w:asciiTheme="minorHAnsi" w:eastAsiaTheme="minorHAnsi" w:hAnsiTheme="minorHAnsi" w:cstheme="minorBidi"/>
              </w:rPr>
              <w:t>18.3%)</w:t>
            </w:r>
          </w:p>
        </w:tc>
      </w:tr>
      <w:tr w:rsidR="00F0271A" w:rsidRPr="00294824" w:rsidTr="005A6B74">
        <w:trPr>
          <w:tblCellSpacing w:w="20" w:type="dxa"/>
        </w:trPr>
        <w:tc>
          <w:tcPr>
            <w:tcW w:w="5470" w:type="dxa"/>
            <w:gridSpan w:val="2"/>
          </w:tcPr>
          <w:p w:rsidR="00F0271A" w:rsidRPr="00294824" w:rsidRDefault="00F0271A" w:rsidP="005A6B74">
            <w:pPr>
              <w:rPr>
                <w:rFonts w:asciiTheme="minorHAnsi" w:eastAsiaTheme="minorHAnsi" w:hAnsiTheme="minorHAnsi" w:cstheme="minorBidi"/>
              </w:rPr>
            </w:pPr>
          </w:p>
        </w:tc>
        <w:tc>
          <w:tcPr>
            <w:tcW w:w="1760" w:type="dxa"/>
            <w:gridSpan w:val="2"/>
          </w:tcPr>
          <w:p w:rsidR="00F0271A" w:rsidRPr="00294824" w:rsidRDefault="00F0271A" w:rsidP="005A6B74">
            <w:pPr>
              <w:rPr>
                <w:rFonts w:asciiTheme="minorHAnsi" w:eastAsiaTheme="minorHAnsi" w:hAnsiTheme="minorHAnsi" w:cstheme="minorBidi"/>
              </w:rPr>
            </w:pPr>
            <w:r w:rsidRPr="00294824">
              <w:rPr>
                <w:rFonts w:asciiTheme="minorHAnsi" w:eastAsiaTheme="minorHAnsi" w:hAnsiTheme="minorHAnsi" w:cstheme="minorBidi"/>
              </w:rPr>
              <w:t>p value = 0.89</w:t>
            </w:r>
          </w:p>
        </w:tc>
        <w:tc>
          <w:tcPr>
            <w:tcW w:w="1261" w:type="dxa"/>
          </w:tcPr>
          <w:p w:rsidR="00F0271A" w:rsidRPr="00294824" w:rsidRDefault="00F0271A" w:rsidP="005A6B74">
            <w:pPr>
              <w:rPr>
                <w:rFonts w:asciiTheme="minorHAnsi" w:eastAsiaTheme="minorHAnsi" w:hAnsiTheme="minorHAnsi" w:cstheme="minorBidi"/>
              </w:rPr>
            </w:pPr>
          </w:p>
        </w:tc>
      </w:tr>
    </w:tbl>
    <w:p w:rsidR="00F0271A" w:rsidRPr="006A70A0" w:rsidRDefault="00F0271A" w:rsidP="00F0271A">
      <w:pPr>
        <w:rPr>
          <w:b/>
        </w:rPr>
      </w:pPr>
      <w:r>
        <w:rPr>
          <w:b/>
        </w:rPr>
        <w:t>Table</w:t>
      </w:r>
      <w:r w:rsidRPr="006A70A0">
        <w:rPr>
          <w:b/>
        </w:rPr>
        <w:t xml:space="preserve"> 1</w:t>
      </w:r>
    </w:p>
    <w:p w:rsidR="00F0271A" w:rsidRDefault="00F0271A">
      <w:pPr>
        <w:widowControl w:val="0"/>
        <w:autoSpaceDE w:val="0"/>
        <w:autoSpaceDN w:val="0"/>
        <w:adjustRightInd w:val="0"/>
      </w:pPr>
    </w:p>
    <w:sectPr w:rsidR="00F0271A">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A7" w:rsidRDefault="008F11A7" w:rsidP="004A4D05">
      <w:r>
        <w:separator/>
      </w:r>
    </w:p>
  </w:endnote>
  <w:endnote w:type="continuationSeparator" w:id="0">
    <w:p w:rsidR="008F11A7" w:rsidRDefault="008F11A7" w:rsidP="004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A7" w:rsidRDefault="008F11A7" w:rsidP="004A4D05">
      <w:r>
        <w:separator/>
      </w:r>
    </w:p>
  </w:footnote>
  <w:footnote w:type="continuationSeparator" w:id="0">
    <w:p w:rsidR="008F11A7" w:rsidRDefault="008F11A7" w:rsidP="004A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05" w:rsidRDefault="004A4D05" w:rsidP="004A4D05">
    <w:pPr>
      <w:pStyle w:val="Header"/>
    </w:pPr>
    <w:r>
      <w:t xml:space="preserve">1217        either      Cat: </w:t>
    </w:r>
    <w:r>
      <w:rPr>
        <w:rFonts w:ascii="Arial" w:hAnsi="Arial" w:cs="Arial"/>
        <w:color w:val="222222"/>
        <w:sz w:val="19"/>
        <w:szCs w:val="19"/>
        <w:shd w:val="clear" w:color="auto" w:fill="FFFFFF"/>
      </w:rPr>
      <w:t>Arrhythmias and antiarrhythmic drug therapy - basic &amp; clinical</w:t>
    </w:r>
  </w:p>
  <w:p w:rsidR="004A4D05" w:rsidRDefault="004A4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A4D05"/>
    <w:rsid w:val="0052495B"/>
    <w:rsid w:val="008F11A7"/>
    <w:rsid w:val="009C725D"/>
    <w:rsid w:val="00B921ED"/>
    <w:rsid w:val="00EC78A5"/>
    <w:rsid w:val="00F027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5DFECB-3E5C-4332-9983-F2F0AD3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05"/>
    <w:pPr>
      <w:tabs>
        <w:tab w:val="center" w:pos="4680"/>
        <w:tab w:val="right" w:pos="9360"/>
      </w:tabs>
    </w:pPr>
  </w:style>
  <w:style w:type="character" w:customStyle="1" w:styleId="HeaderChar">
    <w:name w:val="Header Char"/>
    <w:basedOn w:val="DefaultParagraphFont"/>
    <w:link w:val="Header"/>
    <w:uiPriority w:val="99"/>
    <w:rsid w:val="004A4D05"/>
    <w:rPr>
      <w:sz w:val="24"/>
      <w:szCs w:val="24"/>
    </w:rPr>
  </w:style>
  <w:style w:type="paragraph" w:styleId="Footer">
    <w:name w:val="footer"/>
    <w:basedOn w:val="Normal"/>
    <w:link w:val="FooterChar"/>
    <w:uiPriority w:val="99"/>
    <w:unhideWhenUsed/>
    <w:rsid w:val="004A4D05"/>
    <w:pPr>
      <w:tabs>
        <w:tab w:val="center" w:pos="4680"/>
        <w:tab w:val="right" w:pos="9360"/>
      </w:tabs>
    </w:pPr>
  </w:style>
  <w:style w:type="character" w:customStyle="1" w:styleId="FooterChar">
    <w:name w:val="Footer Char"/>
    <w:basedOn w:val="DefaultParagraphFont"/>
    <w:link w:val="Footer"/>
    <w:uiPriority w:val="99"/>
    <w:rsid w:val="004A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2016-03-06T20:26:00Z</dcterms:created>
  <dcterms:modified xsi:type="dcterms:W3CDTF">2016-03-07T20:51:00Z</dcterms:modified>
</cp:coreProperties>
</file>